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4B" w:rsidRPr="0022674B" w:rsidRDefault="0022674B" w:rsidP="0022674B">
      <w:pPr>
        <w:spacing w:after="0" w:line="240" w:lineRule="auto"/>
        <w:ind w:firstLine="708"/>
        <w:jc w:val="center"/>
        <w:rPr>
          <w:rFonts w:ascii="Gentium Basic" w:eastAsia="Times New Roman" w:hAnsi="Gentium Basic" w:cstheme="majorHAnsi"/>
          <w:b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УСИЛЕНИЕ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ПРАВОВОЙ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ЗАЩИТЫ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ПРАВ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МИГРАНТОВ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КАЗАХСТАНЕ</w:t>
      </w:r>
    </w:p>
    <w:p w:rsidR="0022674B" w:rsidRPr="0022674B" w:rsidRDefault="0022674B" w:rsidP="0022674B">
      <w:pPr>
        <w:spacing w:after="0" w:line="240" w:lineRule="auto"/>
        <w:ind w:firstLine="708"/>
        <w:jc w:val="center"/>
        <w:rPr>
          <w:rFonts w:ascii="Gentium Basic" w:eastAsia="Times New Roman" w:hAnsi="Gentium Basic" w:cstheme="majorHAnsi"/>
          <w:b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ind w:firstLine="708"/>
        <w:jc w:val="center"/>
        <w:rPr>
          <w:rFonts w:ascii="Gentium Basic" w:eastAsia="Times New Roman" w:hAnsi="Gentium Basic" w:cstheme="majorHAnsi"/>
          <w:b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Информация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о</w:t>
      </w:r>
      <w:r w:rsidRPr="0022674B">
        <w:rPr>
          <w:rFonts w:ascii="Gentium Basic" w:eastAsia="Times New Roman" w:hAnsi="Gentium Basic" w:cstheme="majorHAnsi"/>
          <w:b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b/>
          <w:sz w:val="24"/>
          <w:szCs w:val="24"/>
          <w:lang w:eastAsia="ru-RU"/>
        </w:rPr>
        <w:t>муткорте</w:t>
      </w:r>
      <w:proofErr w:type="spellEnd"/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Муткорт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(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англ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  <w:r w:rsidRPr="0022674B">
        <w:rPr>
          <w:rFonts w:ascii="Gentium Basic" w:eastAsia="Times New Roman" w:hAnsi="Gentium Basic" w:cstheme="majorHAnsi"/>
          <w:i/>
          <w:sz w:val="24"/>
          <w:szCs w:val="24"/>
          <w:lang w:val="en-US" w:eastAsia="ru-RU"/>
        </w:rPr>
        <w:t>moot</w:t>
      </w:r>
      <w:r w:rsidRPr="0022674B">
        <w:rPr>
          <w:rFonts w:ascii="Gentium Basic" w:eastAsia="Times New Roman" w:hAnsi="Gentium Basic" w:cstheme="majorHAnsi"/>
          <w:i/>
          <w:sz w:val="24"/>
          <w:szCs w:val="24"/>
          <w:lang w:eastAsia="ru-RU"/>
        </w:rPr>
        <w:t xml:space="preserve"> </w:t>
      </w:r>
      <w:r w:rsidRPr="0022674B">
        <w:rPr>
          <w:rFonts w:ascii="Gentium Basic" w:eastAsia="Times New Roman" w:hAnsi="Gentium Basic" w:cstheme="majorHAnsi"/>
          <w:i/>
          <w:sz w:val="24"/>
          <w:szCs w:val="24"/>
          <w:lang w:val="en-US" w:eastAsia="ru-RU"/>
        </w:rPr>
        <w:t>court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–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учебный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судебный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процесс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) –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это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правовой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конкурс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,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симулирующий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рассмотрение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дела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в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государственном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или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международном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суде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Игровые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судебные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процессы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Gentium Basic"/>
          <w:sz w:val="24"/>
          <w:szCs w:val="24"/>
          <w:shd w:val="clear" w:color="auto" w:fill="FFFFFF"/>
        </w:rPr>
        <w:t>–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отличная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платформа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для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практикующих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юристов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Участие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в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муткорте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дает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возможность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расширить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свой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опыт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,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отточить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навыки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письменного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устного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доказывания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командной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работы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. 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В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зависимости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от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отрасли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права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существует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множество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международных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муткортов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, </w:t>
      </w:r>
      <w:proofErr w:type="gramStart"/>
      <w:r w:rsidRPr="0022674B">
        <w:rPr>
          <w:rFonts w:ascii="Cambria" w:hAnsi="Cambria" w:cs="Cambria"/>
          <w:sz w:val="24"/>
          <w:szCs w:val="24"/>
          <w:shd w:val="clear" w:color="auto" w:fill="FFFFFF"/>
        </w:rPr>
        <w:t>например</w:t>
      </w:r>
      <w:proofErr w:type="gram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: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1.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Кубок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имени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Филипа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С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. </w:t>
      </w:r>
      <w:proofErr w:type="spellStart"/>
      <w:r w:rsidRPr="0022674B">
        <w:rPr>
          <w:rFonts w:ascii="Cambria" w:hAnsi="Cambria" w:cs="Cambria"/>
          <w:sz w:val="24"/>
          <w:szCs w:val="24"/>
          <w:shd w:val="clear" w:color="auto" w:fill="FFFFFF"/>
        </w:rPr>
        <w:t>Джессопа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международному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публичному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праву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(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Philip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C.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Jessup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Moot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Court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Competition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);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2.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Конкурс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им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Жана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Пикте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международному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гуманитарному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праву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(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Jean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-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Pictet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Competition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on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International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Humanitarian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  <w:lang w:val="en-US"/>
        </w:rPr>
        <w:t>Law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);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hAnsi="Gentium Basic" w:cs="Arial"/>
          <w:sz w:val="24"/>
          <w:szCs w:val="24"/>
          <w:shd w:val="clear" w:color="auto" w:fill="FFFFFF"/>
        </w:rPr>
      </w:pP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3.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Международный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конкурс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праву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r w:rsidRPr="0022674B">
        <w:rPr>
          <w:rFonts w:ascii="Cambria" w:hAnsi="Cambria" w:cs="Cambria"/>
          <w:sz w:val="24"/>
          <w:szCs w:val="24"/>
          <w:shd w:val="clear" w:color="auto" w:fill="FFFFFF"/>
        </w:rPr>
        <w:t>ВТО</w:t>
      </w:r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(ELSA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Moot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Court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Competition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on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 xml:space="preserve"> WTO </w:t>
      </w:r>
      <w:proofErr w:type="spellStart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law</w:t>
      </w:r>
      <w:proofErr w:type="spellEnd"/>
      <w:r w:rsidRPr="0022674B">
        <w:rPr>
          <w:rFonts w:ascii="Gentium Basic" w:hAnsi="Gentium Basic" w:cs="Arial"/>
          <w:sz w:val="24"/>
          <w:szCs w:val="24"/>
          <w:shd w:val="clear" w:color="auto" w:fill="FFFFFF"/>
        </w:rPr>
        <w:t>).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Gentium Basic" w:eastAsia="Times New Roman" w:hAnsi="Gentium Basic" w:cstheme="majorHAnsi"/>
          <w:sz w:val="24"/>
          <w:szCs w:val="24"/>
          <w:lang w:val="kk-KZ" w:eastAsia="ru-RU"/>
        </w:rPr>
        <w:t> </w:t>
      </w: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Структура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проведения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муткорта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рамках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проекта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следующая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: </w:t>
      </w:r>
    </w:p>
    <w:p w:rsidR="0022674B" w:rsidRPr="0022674B" w:rsidRDefault="0022674B" w:rsidP="0022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Проводится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отбор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шестнадцати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адвокатов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которые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будут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разделены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восемь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два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человека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</w:p>
    <w:p w:rsidR="0022674B" w:rsidRPr="0022674B" w:rsidRDefault="0022674B" w:rsidP="0022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Четыре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будут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представлять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позицию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заявителя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вымышленному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кейсу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другие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четыре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–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позицию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правительства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данном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случае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-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Республики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Казахстан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</w:p>
    <w:p w:rsidR="0022674B" w:rsidRPr="0022674B" w:rsidRDefault="0022674B" w:rsidP="0022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Каждой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должен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подготовлен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письменный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меморандум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аргументацией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своих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утверждений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основе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поставленных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кейсе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вопросов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которыми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они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обращаются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рассматривающий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орган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-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КПЧ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ООН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>.</w:t>
      </w:r>
    </w:p>
    <w:p w:rsidR="0022674B" w:rsidRPr="0022674B" w:rsidRDefault="0022674B" w:rsidP="002267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Четыре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отборочные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игры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которых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выступят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позициями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заявителя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ответчика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перед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так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называемой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«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судейской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скамьей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» -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рамках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симуляции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реального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обращения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КПЧ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ООН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позволят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четырем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командам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вырваться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вперед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Затем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состоится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полуфинал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финале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встретятся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две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сильнейшие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>.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итогам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отбора</w:t>
      </w:r>
      <w:r w:rsidR="00281C21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Мадина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Беркали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проведет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информационную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сессию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участников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полным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объяснением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деталей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мероприятия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Участникам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будет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выслана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инструкция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кейс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пакет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необходимых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документов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  <w:r w:rsidR="004D732A">
        <w:rPr>
          <w:rFonts w:eastAsia="Times New Roman" w:cstheme="majorHAnsi"/>
          <w:sz w:val="24"/>
          <w:szCs w:val="24"/>
          <w:lang w:eastAsia="ru-RU"/>
        </w:rPr>
        <w:t>К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оманды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смогут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ознакомиться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кейсом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подготовиться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отборочному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туру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="Segoe UI Historic"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="Segoe UI Historic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Отборочные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раунды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81C21">
        <w:rPr>
          <w:rFonts w:ascii="Cambria" w:eastAsia="Times New Roman" w:hAnsi="Cambria" w:cs="Cambria"/>
          <w:sz w:val="24"/>
          <w:szCs w:val="24"/>
          <w:lang w:eastAsia="ru-RU"/>
        </w:rPr>
        <w:t>пройдут</w:t>
      </w:r>
      <w:r w:rsidRPr="00281C21">
        <w:rPr>
          <w:rFonts w:ascii="Cambria" w:eastAsia="Times New Roman" w:hAnsi="Cambria" w:cs="Segoe UI Historic"/>
          <w:sz w:val="24"/>
          <w:szCs w:val="24"/>
          <w:lang w:eastAsia="ru-RU"/>
        </w:rPr>
        <w:t xml:space="preserve"> </w:t>
      </w:r>
      <w:r w:rsidR="00281C21" w:rsidRPr="00281C21">
        <w:rPr>
          <w:rFonts w:ascii="Cambria" w:eastAsia="Times New Roman" w:hAnsi="Cambria" w:cs="Calibri"/>
          <w:sz w:val="24"/>
          <w:szCs w:val="24"/>
          <w:lang w:eastAsia="ru-RU"/>
        </w:rPr>
        <w:t>в середине</w:t>
      </w:r>
      <w:r w:rsidRPr="00281C21">
        <w:rPr>
          <w:rFonts w:ascii="Cambria" w:eastAsia="Times New Roman" w:hAnsi="Cambria" w:cs="Segoe UI Historic"/>
          <w:sz w:val="24"/>
          <w:szCs w:val="24"/>
          <w:lang w:eastAsia="ru-RU"/>
        </w:rPr>
        <w:t xml:space="preserve"> </w:t>
      </w:r>
      <w:r w:rsidRPr="00281C21">
        <w:rPr>
          <w:rFonts w:ascii="Cambria" w:eastAsia="Times New Roman" w:hAnsi="Cambria" w:cs="Cambria"/>
          <w:sz w:val="24"/>
          <w:szCs w:val="24"/>
          <w:lang w:eastAsia="ru-RU"/>
        </w:rPr>
        <w:t>апреля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2021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года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формате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судебного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разбирательства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регламентом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времени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выступлениями</w:t>
      </w:r>
      <w:r w:rsidRPr="0022674B">
        <w:rPr>
          <w:rFonts w:ascii="Gentium Basic" w:eastAsia="Times New Roman" w:hAnsi="Gentium Basic" w:cs="Segoe UI Historic"/>
          <w:sz w:val="24"/>
          <w:szCs w:val="24"/>
          <w:lang w:eastAsia="ru-RU"/>
        </w:rPr>
        <w:t xml:space="preserve">. </w:t>
      </w: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="Segoe UI Historic"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</w:p>
    <w:p w:rsidR="0022674B" w:rsidRPr="0022674B" w:rsidRDefault="0022674B" w:rsidP="0022674B">
      <w:pPr>
        <w:spacing w:after="0" w:line="240" w:lineRule="auto"/>
        <w:ind w:firstLine="708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проведении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мут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корта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помогут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российский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адвокат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Дмитрий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Бартенев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руководитель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правозащитной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практики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Gentium Basic" w:eastAsia="Times New Roman" w:hAnsi="Gentium Basic" w:cstheme="majorHAnsi"/>
          <w:sz w:val="24"/>
          <w:szCs w:val="24"/>
          <w:lang w:val="en-US" w:eastAsia="ru-RU"/>
        </w:rPr>
        <w:t>Onegin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Gentium Basic" w:eastAsia="Times New Roman" w:hAnsi="Gentium Basic" w:cstheme="majorHAnsi"/>
          <w:sz w:val="24"/>
          <w:szCs w:val="24"/>
          <w:lang w:val="en-US" w:eastAsia="ru-RU"/>
        </w:rPr>
        <w:t>Group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Эльвира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Боханова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адвокат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Алматинской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городской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коллегии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адвокатов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Мадина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Беркали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юрист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>-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международник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,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капитан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Казахстана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Кубке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Ф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>.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. </w:t>
      </w:r>
      <w:proofErr w:type="spellStart"/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Джессапа</w:t>
      </w:r>
      <w:proofErr w:type="spellEnd"/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 xml:space="preserve"> 2015 </w:t>
      </w:r>
      <w:r w:rsidRPr="0022674B">
        <w:rPr>
          <w:rFonts w:ascii="Cambria" w:eastAsia="Times New Roman" w:hAnsi="Cambria" w:cs="Cambria"/>
          <w:sz w:val="24"/>
          <w:szCs w:val="24"/>
          <w:lang w:eastAsia="ru-RU"/>
        </w:rPr>
        <w:t>года</w:t>
      </w:r>
      <w:r w:rsidRPr="0022674B">
        <w:rPr>
          <w:rFonts w:ascii="Gentium Basic" w:eastAsia="Times New Roman" w:hAnsi="Gentium Basic" w:cstheme="majorHAnsi"/>
          <w:sz w:val="24"/>
          <w:szCs w:val="24"/>
          <w:lang w:eastAsia="ru-RU"/>
        </w:rPr>
        <w:t>.</w:t>
      </w:r>
    </w:p>
    <w:p w:rsidR="0022674B" w:rsidRPr="0022674B" w:rsidRDefault="0022674B" w:rsidP="0022674B">
      <w:pPr>
        <w:spacing w:after="0" w:line="240" w:lineRule="auto"/>
        <w:jc w:val="both"/>
        <w:rPr>
          <w:rFonts w:ascii="Gentium Basic" w:eastAsia="Times New Roman" w:hAnsi="Gentium Basic" w:cstheme="majorHAnsi"/>
          <w:sz w:val="24"/>
          <w:szCs w:val="24"/>
          <w:lang w:eastAsia="ru-RU"/>
        </w:rPr>
      </w:pPr>
      <w:bookmarkStart w:id="0" w:name="_GoBack"/>
      <w:bookmarkEnd w:id="0"/>
    </w:p>
    <w:p w:rsidR="00B15525" w:rsidRPr="0022674B" w:rsidRDefault="004D732A" w:rsidP="0022674B">
      <w:pPr>
        <w:spacing w:line="240" w:lineRule="auto"/>
        <w:jc w:val="both"/>
        <w:rPr>
          <w:rFonts w:ascii="Gentium Basic" w:hAnsi="Gentium Basic"/>
          <w:sz w:val="24"/>
          <w:szCs w:val="24"/>
        </w:rPr>
      </w:pPr>
    </w:p>
    <w:sectPr w:rsidR="00B15525" w:rsidRPr="0022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45FC"/>
    <w:multiLevelType w:val="hybridMultilevel"/>
    <w:tmpl w:val="72AE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4B"/>
    <w:rsid w:val="0022674B"/>
    <w:rsid w:val="00281C21"/>
    <w:rsid w:val="004D732A"/>
    <w:rsid w:val="006A22FF"/>
    <w:rsid w:val="00781638"/>
    <w:rsid w:val="009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595"/>
  <w15:chartTrackingRefBased/>
  <w15:docId w15:val="{26441BB0-816B-482A-950B-7E4FB47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2021-03-19T10:55:00Z</dcterms:created>
  <dcterms:modified xsi:type="dcterms:W3CDTF">2021-03-27T05:45:00Z</dcterms:modified>
</cp:coreProperties>
</file>